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Pr="00D77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 NOTICE</w:t>
      </w: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………………….. 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80396C" w:rsidRDefault="005224E8" w:rsidP="005224E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Physical Education,</w:t>
      </w:r>
      <w:r w:rsidRPr="0080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Union Christian College, Aluva-2</w:t>
      </w:r>
    </w:p>
    <w:p w:rsidR="005224E8" w:rsidRPr="00731E8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tenders are invited for the supply of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 goods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5224E8" w:rsidRPr="00D77B45" w:rsidTr="00AF65EB">
        <w:tc>
          <w:tcPr>
            <w:tcW w:w="828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2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Item</w:t>
            </w:r>
          </w:p>
        </w:tc>
        <w:tc>
          <w:tcPr>
            <w:tcW w:w="1915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1915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5224E8" w:rsidRPr="00D77B45" w:rsidTr="00AF65EB">
        <w:tc>
          <w:tcPr>
            <w:tcW w:w="828" w:type="dxa"/>
          </w:tcPr>
          <w:p w:rsidR="005224E8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5224E8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attached list</w:t>
            </w:r>
          </w:p>
        </w:tc>
        <w:tc>
          <w:tcPr>
            <w:tcW w:w="1915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5224E8" w:rsidRPr="00D77B4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 envelopes containing the tender should bear the superscription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Limited Tender</w:t>
      </w:r>
      <w:r w:rsidRPr="00A309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Physical Education, Union Christian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be addressed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PRINCIPAL, UNION CHRISTIAN COLLEGE, ALUVA 2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Last date for receipt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</w:t>
      </w:r>
      <w:r w:rsidR="0025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.08.2016,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 pm.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proofErr w:type="gram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tenders will not be accepted.</w:t>
      </w:r>
      <w:r w:rsidRPr="00B05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details regarding the same will be available in the college website from </w:t>
      </w:r>
      <w:r w:rsidR="00256B95">
        <w:rPr>
          <w:sz w:val="24"/>
          <w:szCs w:val="24"/>
        </w:rPr>
        <w:t>16.08</w:t>
      </w:r>
      <w:r>
        <w:rPr>
          <w:sz w:val="24"/>
          <w:szCs w:val="24"/>
        </w:rPr>
        <w:t xml:space="preserve">.2016 to </w:t>
      </w:r>
      <w:r w:rsidR="00256B95">
        <w:rPr>
          <w:sz w:val="24"/>
          <w:szCs w:val="24"/>
        </w:rPr>
        <w:t>31</w:t>
      </w:r>
      <w:r>
        <w:rPr>
          <w:sz w:val="24"/>
          <w:szCs w:val="24"/>
        </w:rPr>
        <w:t>.08.2016</w:t>
      </w:r>
      <w:r w:rsidRPr="00183B5B">
        <w:rPr>
          <w:sz w:val="24"/>
          <w:szCs w:val="24"/>
        </w:rPr>
        <w:t>.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opened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 am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such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renderers or their authorized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representatives who may be present at that time.</w:t>
      </w: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renderers may, on application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PRINCIPAL., UNION CHRISTIAN COLLEGE, ALUVA-2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obtain the requisite tender forms on which tenders should be submitted. Application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 should be accompanied by a cash remittance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Rs.420/- (inclusive of VAT)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which is the price fixed for a form/set of forms and which is not refundable under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circumstances.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forms are not transferable. 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of tender forms will be closed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25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.08.</w:t>
      </w:r>
      <w:r w:rsidRPr="00A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Cheques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postage stamps, etc., will not be accepted towards the cost of forms, nor will the forms be sent per V.P.P. Duplicate tender forms, if required will be issued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Rs.200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copy.</w:t>
      </w: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agreement has to be executed by you in the prescribed form on stamp paper of value Rs.100/- purchased in the Kerala state.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Place: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 w:rsidR="002C63E5">
        <w:rPr>
          <w:rFonts w:ascii="Times New Roman" w:hAnsi="Times New Roman" w:cs="Times New Roman"/>
          <w:color w:val="000000" w:themeColor="text1"/>
          <w:sz w:val="24"/>
          <w:szCs w:val="24"/>
        </w:rPr>
        <w:t>16.08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PRINCIPAL.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UNION CHRISTIAN COLLEGE, </w:t>
      </w:r>
    </w:p>
    <w:p w:rsidR="005224E8" w:rsidRPr="00D77B45" w:rsidRDefault="005224E8" w:rsidP="005224E8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ALUVA 2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E8" w:rsidRPr="00DB47E1" w:rsidRDefault="005224E8" w:rsidP="005224E8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E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TENDER FORMAT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24E8" w:rsidRPr="00177A65" w:rsidTr="00AF65EB">
        <w:tc>
          <w:tcPr>
            <w:tcW w:w="9576" w:type="dxa"/>
            <w:gridSpan w:val="2"/>
          </w:tcPr>
          <w:p w:rsidR="005224E8" w:rsidRDefault="005224E8" w:rsidP="00AF65EB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224E8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 No……………………………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supply of Sports goods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224E8" w:rsidRDefault="005224E8" w:rsidP="00AF65EB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 xml:space="preserve">…. </w:t>
            </w:r>
          </w:p>
          <w:p w:rsidR="005224E8" w:rsidRPr="00177A65" w:rsidRDefault="005224E8" w:rsidP="00AF65EB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Aluva-2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Due date and time for receipt of tender</w:t>
            </w:r>
          </w:p>
        </w:tc>
        <w:tc>
          <w:tcPr>
            <w:tcW w:w="4788" w:type="dxa"/>
          </w:tcPr>
          <w:p w:rsidR="005224E8" w:rsidRPr="00177A65" w:rsidRDefault="00035855" w:rsidP="00AF65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52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-08</w:t>
            </w:r>
            <w:r w:rsidR="005224E8" w:rsidRPr="007F4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 w:rsidR="0052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52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pm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and time for opening of tender</w:t>
            </w:r>
          </w:p>
        </w:tc>
        <w:tc>
          <w:tcPr>
            <w:tcW w:w="4788" w:type="dxa"/>
          </w:tcPr>
          <w:p w:rsidR="005224E8" w:rsidRPr="00177A65" w:rsidRDefault="005224E8" w:rsidP="00035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358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-2016 </w:t>
            </w:r>
            <w:r w:rsidR="007C6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10..00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up to which the rates are to be firm</w:t>
            </w:r>
          </w:p>
        </w:tc>
        <w:tc>
          <w:tcPr>
            <w:tcW w:w="4788" w:type="dxa"/>
          </w:tcPr>
          <w:p w:rsidR="005224E8" w:rsidRPr="00A77EDF" w:rsidRDefault="005224E8" w:rsidP="00AF65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31-0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tender form</w:t>
            </w:r>
          </w:p>
        </w:tc>
        <w:tc>
          <w:tcPr>
            <w:tcW w:w="4788" w:type="dxa"/>
          </w:tcPr>
          <w:p w:rsidR="005224E8" w:rsidRPr="00177A65" w:rsidRDefault="005224E8" w:rsidP="00AF65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(Rs.420)Rs. 400 + 20 VAT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duplicate copy</w:t>
            </w:r>
          </w:p>
        </w:tc>
        <w:tc>
          <w:tcPr>
            <w:tcW w:w="4788" w:type="dxa"/>
          </w:tcPr>
          <w:p w:rsidR="005224E8" w:rsidRPr="00177A65" w:rsidRDefault="005224E8" w:rsidP="00AF65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Rs.200</w:t>
            </w:r>
          </w:p>
        </w:tc>
      </w:tr>
      <w:tr w:rsidR="005224E8" w:rsidRPr="00177A65" w:rsidTr="00AF65EB">
        <w:tc>
          <w:tcPr>
            <w:tcW w:w="4788" w:type="dxa"/>
          </w:tcPr>
          <w:p w:rsidR="005224E8" w:rsidRPr="00177A6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Address of Officer from whom tender</w:t>
            </w:r>
          </w:p>
          <w:p w:rsidR="005224E8" w:rsidRPr="00177A65" w:rsidRDefault="005224E8" w:rsidP="00AF6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forms are to be obtained and to whom</w:t>
            </w:r>
          </w:p>
          <w:p w:rsidR="005224E8" w:rsidRPr="00177A65" w:rsidRDefault="005224E8" w:rsidP="00AF65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tenders are to be sent:</w:t>
            </w:r>
          </w:p>
        </w:tc>
        <w:tc>
          <w:tcPr>
            <w:tcW w:w="4788" w:type="dxa"/>
          </w:tcPr>
          <w:p w:rsidR="005224E8" w:rsidRDefault="005224E8" w:rsidP="00AF65EB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PRINCIPAL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24E8" w:rsidRDefault="005224E8" w:rsidP="00AF65EB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UNION CHRISTIAN COLLEGE, </w:t>
            </w:r>
          </w:p>
          <w:p w:rsidR="005224E8" w:rsidRPr="00D77B45" w:rsidRDefault="005224E8" w:rsidP="00AF65EB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ALUVA 2</w:t>
            </w:r>
          </w:p>
          <w:p w:rsidR="005224E8" w:rsidRPr="00177A65" w:rsidRDefault="005224E8" w:rsidP="00AF65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24E8" w:rsidRDefault="005224E8" w:rsidP="005224E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224E8" w:rsidRDefault="005224E8" w:rsidP="005224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Whether samples essential:</w:t>
      </w:r>
      <w:r>
        <w:rPr>
          <w:rFonts w:ascii="Times New Roman" w:hAnsi="Times New Roman" w:cs="Times New Roman"/>
          <w:sz w:val="24"/>
          <w:szCs w:val="28"/>
        </w:rPr>
        <w:t xml:space="preserve"> Yes</w:t>
      </w:r>
    </w:p>
    <w:p w:rsidR="005224E8" w:rsidRPr="00177A6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24E8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Period within which goods should be delivered: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Two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 week after the receipt of Order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24E8" w:rsidRPr="00177A65" w:rsidRDefault="005224E8" w:rsidP="0052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224E8" w:rsidRPr="00404788" w:rsidRDefault="005224E8" w:rsidP="0052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 xml:space="preserve">Rates should be quoted for delivery </w:t>
      </w:r>
      <w:r>
        <w:rPr>
          <w:rFonts w:ascii="Times New Roman" w:hAnsi="Times New Roman" w:cs="Times New Roman"/>
          <w:sz w:val="24"/>
          <w:szCs w:val="28"/>
        </w:rPr>
        <w:t xml:space="preserve">at the Physical Education Department, 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Union Christian College, </w:t>
      </w:r>
      <w:proofErr w:type="spellStart"/>
      <w:proofErr w:type="gramStart"/>
      <w:r w:rsidRPr="00903758">
        <w:rPr>
          <w:rFonts w:ascii="Times New Roman" w:hAnsi="Times New Roman" w:cs="Times New Roman"/>
          <w:b/>
          <w:sz w:val="24"/>
          <w:szCs w:val="28"/>
        </w:rPr>
        <w:t>Aluva</w:t>
      </w:r>
      <w:proofErr w:type="spellEnd"/>
      <w:proofErr w:type="gramEnd"/>
      <w:r w:rsidRPr="00903758">
        <w:rPr>
          <w:rFonts w:ascii="Times New Roman" w:hAnsi="Times New Roman" w:cs="Times New Roman"/>
          <w:b/>
          <w:sz w:val="24"/>
          <w:szCs w:val="28"/>
        </w:rPr>
        <w:t xml:space="preserve"> - 2</w:t>
      </w:r>
    </w:p>
    <w:p w:rsidR="005224E8" w:rsidRPr="00404788" w:rsidRDefault="005224E8" w:rsidP="005224E8">
      <w:pPr>
        <w:rPr>
          <w:rFonts w:ascii="Times New Roman" w:hAnsi="Times New Roman" w:cs="Times New Roman"/>
          <w:sz w:val="10"/>
          <w:szCs w:val="28"/>
        </w:rPr>
      </w:pPr>
    </w:p>
    <w:p w:rsidR="005224E8" w:rsidRPr="00404788" w:rsidRDefault="005224E8" w:rsidP="005224E8">
      <w:pPr>
        <w:rPr>
          <w:rFonts w:ascii="Times New Roman" w:hAnsi="Times New Roman" w:cs="Times New Roman"/>
          <w:sz w:val="1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Other special conditions:</w:t>
      </w:r>
      <w:r>
        <w:rPr>
          <w:rFonts w:ascii="Times New Roman" w:hAnsi="Times New Roman" w:cs="Times New Roman"/>
          <w:sz w:val="24"/>
          <w:szCs w:val="28"/>
        </w:rPr>
        <w:t xml:space="preserve"> Price should be inclusive of taxes and transportation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8"/>
          <w:szCs w:val="28"/>
        </w:rPr>
        <w:tab/>
      </w:r>
    </w:p>
    <w:p w:rsidR="005224E8" w:rsidRDefault="005224E8" w:rsidP="005224E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5224E8" w:rsidRDefault="005224E8" w:rsidP="005224E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5224E8" w:rsidRDefault="005224E8" w:rsidP="005224E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                                                                            Name &amp; Address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Tenderer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5224E8" w:rsidRDefault="005224E8" w:rsidP="005224E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Date.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Signature:</w:t>
      </w: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rPr>
          <w:b/>
          <w:sz w:val="20"/>
          <w:szCs w:val="20"/>
        </w:rPr>
      </w:pPr>
    </w:p>
    <w:p w:rsidR="005224E8" w:rsidRDefault="005224E8" w:rsidP="005224E8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5224E8" w:rsidRPr="00422CFC" w:rsidRDefault="005224E8" w:rsidP="005224E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422CFC">
        <w:rPr>
          <w:b/>
          <w:sz w:val="20"/>
          <w:szCs w:val="20"/>
          <w:u w:val="single"/>
        </w:rPr>
        <w:lastRenderedPageBreak/>
        <w:t>LIST OF ARTICLES</w:t>
      </w:r>
    </w:p>
    <w:tbl>
      <w:tblPr>
        <w:tblStyle w:val="TableGrid"/>
        <w:tblW w:w="8568" w:type="dxa"/>
        <w:tblLayout w:type="fixed"/>
        <w:tblLook w:val="04A0"/>
      </w:tblPr>
      <w:tblGrid>
        <w:gridCol w:w="558"/>
        <w:gridCol w:w="3510"/>
        <w:gridCol w:w="4500"/>
      </w:tblGrid>
      <w:tr w:rsidR="005224E8" w:rsidTr="00AF65EB">
        <w:tc>
          <w:tcPr>
            <w:tcW w:w="558" w:type="dxa"/>
          </w:tcPr>
          <w:p w:rsidR="005224E8" w:rsidRDefault="005224E8" w:rsidP="00AF65EB"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3510" w:type="dxa"/>
          </w:tcPr>
          <w:p w:rsidR="005224E8" w:rsidRPr="00A97667" w:rsidRDefault="005224E8" w:rsidP="00AF65E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4500" w:type="dxa"/>
          </w:tcPr>
          <w:p w:rsidR="005224E8" w:rsidRDefault="005224E8" w:rsidP="00AF65EB">
            <w:r>
              <w:t>Quality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Basketball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Nivia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Baseball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Bhaseen-Baspo</w:t>
            </w:r>
            <w:proofErr w:type="spellEnd"/>
            <w:r>
              <w:rPr>
                <w:sz w:val="20"/>
                <w:szCs w:val="20"/>
              </w:rPr>
              <w:t xml:space="preserve"> 530 c synthetic cover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Baseball Bat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Eastern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bat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GM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Batting Glove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SG Extra Pro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Keeping glove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SG League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 xml:space="preserve">Cricket </w:t>
            </w:r>
            <w:r>
              <w:rPr>
                <w:sz w:val="20"/>
                <w:szCs w:val="20"/>
              </w:rPr>
              <w:t xml:space="preserve">batting </w:t>
            </w:r>
            <w:r w:rsidRPr="001953FA">
              <w:rPr>
                <w:sz w:val="20"/>
                <w:szCs w:val="20"/>
              </w:rPr>
              <w:t>Leg guard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SG League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Helmet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 xml:space="preserve">SG </w:t>
            </w:r>
          </w:p>
        </w:tc>
      </w:tr>
      <w:tr w:rsidR="005224E8" w:rsidTr="00AF65EB">
        <w:tc>
          <w:tcPr>
            <w:tcW w:w="558" w:type="dxa"/>
          </w:tcPr>
          <w:p w:rsidR="005224E8" w:rsidRDefault="005224E8" w:rsidP="00AF6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Tennis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Vicky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Foot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Nivia</w:t>
            </w:r>
            <w:proofErr w:type="spellEnd"/>
            <w:r w:rsidRPr="001953FA">
              <w:rPr>
                <w:sz w:val="20"/>
                <w:szCs w:val="20"/>
              </w:rPr>
              <w:t>( Shinning  Star)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Foot ball Boot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Star Impact – Classic Leather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Foot ball Glove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Cones, Domes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Medium size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Hockey Stick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TK C-6</w:t>
            </w:r>
            <w:r>
              <w:rPr>
                <w:sz w:val="20"/>
                <w:szCs w:val="20"/>
              </w:rPr>
              <w:t xml:space="preserve"> Graphite Bended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Hockey ball</w:t>
            </w:r>
            <w:r>
              <w:rPr>
                <w:sz w:val="20"/>
                <w:szCs w:val="20"/>
              </w:rPr>
              <w:t>(</w:t>
            </w:r>
            <w:r w:rsidRPr="001953FA">
              <w:rPr>
                <w:sz w:val="20"/>
                <w:szCs w:val="20"/>
              </w:rPr>
              <w:t xml:space="preserve"> turf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BAS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Hockey turf shoe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Fenta</w:t>
            </w:r>
            <w:proofErr w:type="spellEnd"/>
            <w:r w:rsidRPr="001953FA">
              <w:rPr>
                <w:sz w:val="20"/>
                <w:szCs w:val="20"/>
              </w:rPr>
              <w:t xml:space="preserve">  </w:t>
            </w:r>
            <w:proofErr w:type="spellStart"/>
            <w:r w:rsidRPr="001953FA">
              <w:rPr>
                <w:sz w:val="20"/>
                <w:szCs w:val="20"/>
              </w:rPr>
              <w:t>Astro</w:t>
            </w:r>
            <w:proofErr w:type="spellEnd"/>
            <w:r w:rsidRPr="001953FA">
              <w:rPr>
                <w:sz w:val="20"/>
                <w:szCs w:val="20"/>
              </w:rPr>
              <w:t xml:space="preserve">- </w:t>
            </w:r>
            <w:proofErr w:type="spellStart"/>
            <w:r w:rsidRPr="001953FA">
              <w:rPr>
                <w:sz w:val="20"/>
                <w:szCs w:val="20"/>
              </w:rPr>
              <w:t>moulded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 Goal Keeper Pad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TK-1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Netball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Cosco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Soft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Bhaseen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953FA">
              <w:rPr>
                <w:sz w:val="20"/>
                <w:szCs w:val="20"/>
              </w:rPr>
              <w:t>Synthetic</w:t>
            </w:r>
            <w:r>
              <w:rPr>
                <w:sz w:val="20"/>
                <w:szCs w:val="20"/>
              </w:rPr>
              <w:t xml:space="preserve"> </w:t>
            </w:r>
            <w:r w:rsidRPr="001953FA">
              <w:rPr>
                <w:sz w:val="20"/>
                <w:szCs w:val="20"/>
              </w:rPr>
              <w:t xml:space="preserve">cover(Graphite) </w:t>
            </w:r>
            <w:proofErr w:type="spellStart"/>
            <w:r>
              <w:rPr>
                <w:sz w:val="20"/>
                <w:szCs w:val="20"/>
              </w:rPr>
              <w:t>Baspo</w:t>
            </w:r>
            <w:proofErr w:type="spellEnd"/>
            <w:r>
              <w:rPr>
                <w:sz w:val="20"/>
                <w:szCs w:val="20"/>
              </w:rPr>
              <w:t xml:space="preserve"> 530 C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Soft ball catcher glove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Bhaseen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Soft ball Glove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Spartan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Soft ball chest guard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Bhaseen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Shuttle Badminton Racket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Ashaway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Shuttle cock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Yonex</w:t>
            </w:r>
            <w:proofErr w:type="spellEnd"/>
            <w:r w:rsidRPr="001953FA">
              <w:rPr>
                <w:sz w:val="20"/>
                <w:szCs w:val="20"/>
              </w:rPr>
              <w:t xml:space="preserve"> Mavis -500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Shuttle cock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AS2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Tennis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Slazenger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Table Tennis 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Match ball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Table Tennis Racket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GKI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Volleyball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proofErr w:type="spellStart"/>
            <w:r w:rsidRPr="001953FA">
              <w:rPr>
                <w:sz w:val="20"/>
                <w:szCs w:val="20"/>
              </w:rPr>
              <w:t>Nivia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Judo Key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proofErr w:type="spellStart"/>
            <w:r w:rsidRPr="00422CFC">
              <w:rPr>
                <w:sz w:val="20"/>
                <w:szCs w:val="20"/>
              </w:rPr>
              <w:t>Addidas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Medals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Medium size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Javelin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proofErr w:type="spellStart"/>
            <w:r w:rsidRPr="00422CFC">
              <w:rPr>
                <w:sz w:val="20"/>
                <w:szCs w:val="20"/>
              </w:rPr>
              <w:t>Nelco,Nivia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Discus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proofErr w:type="spellStart"/>
            <w:r w:rsidRPr="00422CFC">
              <w:rPr>
                <w:sz w:val="20"/>
                <w:szCs w:val="20"/>
              </w:rPr>
              <w:t>Nelco,Nivia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Cricket Mat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Full Size</w:t>
            </w: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Water Polo Ball</w:t>
            </w:r>
          </w:p>
        </w:tc>
        <w:tc>
          <w:tcPr>
            <w:tcW w:w="4500" w:type="dxa"/>
          </w:tcPr>
          <w:p w:rsidR="005224E8" w:rsidRPr="00422CFC" w:rsidRDefault="005224E8" w:rsidP="00AF65EB">
            <w:pPr>
              <w:rPr>
                <w:sz w:val="20"/>
                <w:szCs w:val="20"/>
              </w:rPr>
            </w:pPr>
            <w:proofErr w:type="spellStart"/>
            <w:r w:rsidRPr="00422CFC">
              <w:rPr>
                <w:sz w:val="20"/>
                <w:szCs w:val="20"/>
              </w:rPr>
              <w:t>Nivia</w:t>
            </w:r>
            <w:proofErr w:type="spellEnd"/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</w:t>
            </w:r>
            <w:r w:rsidRPr="001953FA">
              <w:rPr>
                <w:sz w:val="20"/>
                <w:szCs w:val="20"/>
              </w:rPr>
              <w:t>Cap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>Fencing kit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 xml:space="preserve">Swimming </w:t>
            </w:r>
            <w:proofErr w:type="spellStart"/>
            <w:r w:rsidRPr="001953FA">
              <w:rPr>
                <w:sz w:val="20"/>
                <w:szCs w:val="20"/>
              </w:rPr>
              <w:t>Googles</w:t>
            </w:r>
            <w:proofErr w:type="spellEnd"/>
            <w:r w:rsidRPr="001953FA">
              <w:rPr>
                <w:sz w:val="20"/>
                <w:szCs w:val="20"/>
              </w:rPr>
              <w:t>-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</w:p>
        </w:tc>
      </w:tr>
      <w:tr w:rsidR="005224E8" w:rsidTr="00AF65EB">
        <w:tc>
          <w:tcPr>
            <w:tcW w:w="558" w:type="dxa"/>
          </w:tcPr>
          <w:p w:rsidR="005224E8" w:rsidRPr="001953FA" w:rsidRDefault="005224E8" w:rsidP="00A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1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  <w:r w:rsidRPr="001953FA">
              <w:rPr>
                <w:sz w:val="20"/>
                <w:szCs w:val="20"/>
              </w:rPr>
              <w:t xml:space="preserve"> Swimming </w:t>
            </w:r>
            <w:r>
              <w:rPr>
                <w:sz w:val="20"/>
                <w:szCs w:val="20"/>
              </w:rPr>
              <w:t>T</w:t>
            </w:r>
            <w:r w:rsidRPr="001953FA">
              <w:rPr>
                <w:sz w:val="20"/>
                <w:szCs w:val="20"/>
              </w:rPr>
              <w:t>runks -</w:t>
            </w:r>
          </w:p>
        </w:tc>
        <w:tc>
          <w:tcPr>
            <w:tcW w:w="4500" w:type="dxa"/>
          </w:tcPr>
          <w:p w:rsidR="005224E8" w:rsidRPr="001953FA" w:rsidRDefault="005224E8" w:rsidP="00AF65EB">
            <w:pPr>
              <w:jc w:val="both"/>
              <w:rPr>
                <w:sz w:val="20"/>
                <w:szCs w:val="20"/>
              </w:rPr>
            </w:pPr>
          </w:p>
        </w:tc>
      </w:tr>
    </w:tbl>
    <w:p w:rsidR="005224E8" w:rsidRDefault="005224E8" w:rsidP="005224E8"/>
    <w:p w:rsidR="005224E8" w:rsidRDefault="005224E8" w:rsidP="005224E8"/>
    <w:p w:rsidR="005224E8" w:rsidRDefault="005224E8" w:rsidP="005224E8">
      <w:r>
        <w:t xml:space="preserve">Principal, Union Christian College, </w:t>
      </w:r>
      <w:proofErr w:type="spellStart"/>
      <w:r>
        <w:t>Aluva</w:t>
      </w:r>
      <w:proofErr w:type="spellEnd"/>
    </w:p>
    <w:p w:rsidR="00965E02" w:rsidRDefault="00965E02" w:rsidP="005224E8"/>
    <w:sectPr w:rsidR="00965E02" w:rsidSect="000A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1E3"/>
    <w:multiLevelType w:val="hybridMultilevel"/>
    <w:tmpl w:val="1C8A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F25"/>
    <w:multiLevelType w:val="hybridMultilevel"/>
    <w:tmpl w:val="66F4F8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210E5D"/>
    <w:multiLevelType w:val="hybridMultilevel"/>
    <w:tmpl w:val="7584D392"/>
    <w:lvl w:ilvl="0" w:tplc="E4A408B6">
      <w:start w:val="1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7AE7"/>
    <w:multiLevelType w:val="hybridMultilevel"/>
    <w:tmpl w:val="A664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5C9"/>
    <w:multiLevelType w:val="hybridMultilevel"/>
    <w:tmpl w:val="A826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92FC2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16764"/>
    <w:multiLevelType w:val="hybridMultilevel"/>
    <w:tmpl w:val="690A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46C0"/>
    <w:multiLevelType w:val="hybridMultilevel"/>
    <w:tmpl w:val="A826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92FC2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069D0"/>
    <w:multiLevelType w:val="hybridMultilevel"/>
    <w:tmpl w:val="29A6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4E8"/>
    <w:rsid w:val="00035855"/>
    <w:rsid w:val="000A0DCE"/>
    <w:rsid w:val="001C6775"/>
    <w:rsid w:val="002428D2"/>
    <w:rsid w:val="00256B95"/>
    <w:rsid w:val="002A1F88"/>
    <w:rsid w:val="002C63E5"/>
    <w:rsid w:val="00330D5C"/>
    <w:rsid w:val="005224E8"/>
    <w:rsid w:val="00572CBD"/>
    <w:rsid w:val="005C07E0"/>
    <w:rsid w:val="00684F3D"/>
    <w:rsid w:val="006A0BF5"/>
    <w:rsid w:val="00703822"/>
    <w:rsid w:val="007C682E"/>
    <w:rsid w:val="008A62F4"/>
    <w:rsid w:val="008D6E76"/>
    <w:rsid w:val="008E7C52"/>
    <w:rsid w:val="00965E02"/>
    <w:rsid w:val="009B57E8"/>
    <w:rsid w:val="009C1D74"/>
    <w:rsid w:val="009C52F8"/>
    <w:rsid w:val="00A0023C"/>
    <w:rsid w:val="00AE7F37"/>
    <w:rsid w:val="00B91E80"/>
    <w:rsid w:val="00C20EB3"/>
    <w:rsid w:val="00C23B90"/>
    <w:rsid w:val="00CA1E5D"/>
    <w:rsid w:val="00CB1F16"/>
    <w:rsid w:val="00CF153C"/>
    <w:rsid w:val="00D55375"/>
    <w:rsid w:val="00D753AA"/>
    <w:rsid w:val="00E27A60"/>
    <w:rsid w:val="00EF70BD"/>
    <w:rsid w:val="00F2344E"/>
    <w:rsid w:val="00F508DA"/>
    <w:rsid w:val="00F867DE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E8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E8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E8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91E80"/>
    <w:rPr>
      <w:i/>
      <w:iCs/>
    </w:rPr>
  </w:style>
  <w:style w:type="character" w:customStyle="1" w:styleId="apple-converted-space">
    <w:name w:val="apple-converted-space"/>
    <w:basedOn w:val="DefaultParagraphFont"/>
    <w:rsid w:val="00B91E80"/>
  </w:style>
  <w:style w:type="paragraph" w:styleId="Header">
    <w:name w:val="header"/>
    <w:basedOn w:val="Normal"/>
    <w:link w:val="HeaderChar"/>
    <w:uiPriority w:val="99"/>
    <w:semiHidden/>
    <w:unhideWhenUsed/>
    <w:rsid w:val="00B91E80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1E8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1E80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1E80"/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9C52F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52F8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chemistry</dc:creator>
  <cp:lastModifiedBy>uc chemistry</cp:lastModifiedBy>
  <cp:revision>42</cp:revision>
  <dcterms:created xsi:type="dcterms:W3CDTF">2016-08-11T11:09:00Z</dcterms:created>
  <dcterms:modified xsi:type="dcterms:W3CDTF">2016-08-11T13:25:00Z</dcterms:modified>
</cp:coreProperties>
</file>